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griglia1chiara-colore2"/>
        <w:tblW w:w="15180" w:type="dxa"/>
        <w:tblLook w:val="04A0" w:firstRow="1" w:lastRow="0" w:firstColumn="1" w:lastColumn="0" w:noHBand="0" w:noVBand="1"/>
      </w:tblPr>
      <w:tblGrid>
        <w:gridCol w:w="8248"/>
        <w:gridCol w:w="1324"/>
        <w:gridCol w:w="1432"/>
        <w:gridCol w:w="1432"/>
        <w:gridCol w:w="1364"/>
        <w:gridCol w:w="10"/>
        <w:gridCol w:w="12"/>
        <w:gridCol w:w="1358"/>
      </w:tblGrid>
      <w:tr w:rsidR="00B25E6A" w:rsidRPr="005D4008" w14:paraId="2BF3D1E3" w14:textId="77777777" w:rsidTr="00B25E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0" w:type="dxa"/>
            <w:gridSpan w:val="8"/>
            <w:shd w:val="clear" w:color="auto" w:fill="F4B083" w:themeFill="accent2" w:themeFillTint="99"/>
          </w:tcPr>
          <w:p w14:paraId="5FF3EDBA" w14:textId="77777777" w:rsidR="00B25E6A" w:rsidRPr="00B25E6A" w:rsidRDefault="00B25E6A" w:rsidP="00B25E6A">
            <w:pPr>
              <w:pStyle w:val="Paragrafoelenco"/>
              <w:ind w:left="720"/>
              <w:jc w:val="both"/>
              <w:rPr>
                <w:rFonts w:asciiTheme="minorHAnsi" w:hAnsiTheme="minorHAnsi" w:cstheme="minorHAnsi"/>
                <w:lang w:val="it-IT"/>
              </w:rPr>
            </w:pPr>
            <w:r w:rsidRPr="00B25E6A">
              <w:rPr>
                <w:rFonts w:asciiTheme="minorHAnsi" w:hAnsiTheme="minorHAnsi" w:cstheme="minorHAnsi"/>
                <w:lang w:val="it-IT"/>
              </w:rPr>
              <w:t>OSSERVAZIONE DELL’ALUNNO/A PER PROGETTARE GLI INTERVENTI DI SOSTEGNO DIDATTICO: ANALISI DEI PUNTI DI FORZA E DELLE CRITICITÀ</w:t>
            </w:r>
            <w:r w:rsidRPr="000B5DA3">
              <w:rPr>
                <w:rStyle w:val="Caratterinotaapidipagina"/>
                <w:u w:val="single"/>
              </w:rPr>
              <w:footnoteReference w:id="1"/>
            </w:r>
          </w:p>
        </w:tc>
      </w:tr>
      <w:tr w:rsidR="00B25E6A" w:rsidRPr="002518F5" w14:paraId="2AF11C8F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BE4D5" w:themeFill="accent2" w:themeFillTint="33"/>
          </w:tcPr>
          <w:p w14:paraId="43C7B8B9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before="240"/>
              <w:jc w:val="both"/>
              <w:rPr>
                <w:rFonts w:asciiTheme="minorHAnsi" w:hAnsiTheme="minorHAnsi" w:cstheme="minorHAnsi"/>
                <w:lang w:val="it-IT" w:eastAsia="it-IT"/>
              </w:rPr>
            </w:pPr>
            <w:r w:rsidRPr="00B25E6A">
              <w:rPr>
                <w:rFonts w:asciiTheme="minorHAnsi" w:eastAsia="Tahoma" w:hAnsiTheme="minorHAnsi" w:cstheme="minorHAnsi"/>
                <w:sz w:val="20"/>
                <w:szCs w:val="20"/>
                <w:lang w:val="it-IT" w:eastAsia="it-IT"/>
              </w:rPr>
              <w:t xml:space="preserve">Dimensione della relazione, dell’interazione e della socializzazione: </w:t>
            </w:r>
          </w:p>
        </w:tc>
        <w:tc>
          <w:tcPr>
            <w:tcW w:w="1324" w:type="dxa"/>
          </w:tcPr>
          <w:p w14:paraId="6006611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6FC72E3B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474571D6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gridSpan w:val="3"/>
          </w:tcPr>
          <w:p w14:paraId="4E2D07D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8" w:type="dxa"/>
          </w:tcPr>
          <w:p w14:paraId="3093A36B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B25E6A" w:rsidRPr="002518F5" w14:paraId="729AF5C8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EE167DF" w14:textId="77777777" w:rsidR="00B25E6A" w:rsidRPr="00B25E6A" w:rsidRDefault="00B25E6A" w:rsidP="00B25E6A">
            <w:pPr>
              <w:pStyle w:val="Paragrafoelenco"/>
              <w:numPr>
                <w:ilvl w:val="0"/>
                <w:numId w:val="1"/>
              </w:numPr>
              <w:spacing w:before="240"/>
              <w:jc w:val="both"/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Capacità ludiche: simbolico/imitativo/cooperativo</w:t>
            </w:r>
          </w:p>
        </w:tc>
        <w:tc>
          <w:tcPr>
            <w:tcW w:w="1324" w:type="dxa"/>
          </w:tcPr>
          <w:p w14:paraId="285AD29F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F4ED3EF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E255E2D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0A9AC2D6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6E31411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2F603ABA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DD3DF2F" w14:textId="77777777" w:rsidR="00B25E6A" w:rsidRPr="00B25E6A" w:rsidRDefault="00B25E6A" w:rsidP="00B25E6A">
            <w:pPr>
              <w:pStyle w:val="Paragrafoelenco"/>
              <w:numPr>
                <w:ilvl w:val="0"/>
                <w:numId w:val="1"/>
              </w:numPr>
              <w:spacing w:before="240"/>
              <w:jc w:val="both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Capacità relazionali con gli adulti</w:t>
            </w:r>
          </w:p>
        </w:tc>
        <w:tc>
          <w:tcPr>
            <w:tcW w:w="1324" w:type="dxa"/>
          </w:tcPr>
          <w:p w14:paraId="0425ECB6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DF6C56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EFFDE9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790BA02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4E0BA25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01A24D31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9B9B7DB" w14:textId="77777777" w:rsidR="00B25E6A" w:rsidRPr="00B25E6A" w:rsidRDefault="00B25E6A" w:rsidP="00B25E6A">
            <w:pPr>
              <w:pStyle w:val="Paragrafoelenco"/>
              <w:numPr>
                <w:ilvl w:val="0"/>
                <w:numId w:val="1"/>
              </w:numPr>
              <w:spacing w:before="240"/>
              <w:jc w:val="both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Capacità relazionali con i coetanei</w:t>
            </w:r>
          </w:p>
        </w:tc>
        <w:tc>
          <w:tcPr>
            <w:tcW w:w="1324" w:type="dxa"/>
          </w:tcPr>
          <w:p w14:paraId="04CF0E93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166ED1DB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47577BB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197F0B1E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39DA2AA2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205D5FDC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A77F717" w14:textId="77777777" w:rsidR="00B25E6A" w:rsidRPr="00B63ACC" w:rsidRDefault="00B25E6A" w:rsidP="00B25E6A">
            <w:pPr>
              <w:pStyle w:val="Paragrafoelenco"/>
              <w:numPr>
                <w:ilvl w:val="0"/>
                <w:numId w:val="1"/>
              </w:numPr>
              <w:spacing w:before="240"/>
              <w:jc w:val="both"/>
              <w:rPr>
                <w:b w:val="0"/>
                <w:bCs w:val="0"/>
                <w:sz w:val="18"/>
                <w:szCs w:val="18"/>
              </w:rPr>
            </w:pPr>
            <w:r w:rsidRPr="00B63ACC">
              <w:rPr>
                <w:b w:val="0"/>
                <w:bCs w:val="0"/>
                <w:sz w:val="18"/>
                <w:szCs w:val="18"/>
              </w:rPr>
              <w:t xml:space="preserve">Rispetto </w:t>
            </w:r>
            <w:proofErr w:type="spellStart"/>
            <w:r w:rsidRPr="00B63ACC">
              <w:rPr>
                <w:b w:val="0"/>
                <w:bCs w:val="0"/>
                <w:sz w:val="18"/>
                <w:szCs w:val="18"/>
              </w:rPr>
              <w:t>delle</w:t>
            </w:r>
            <w:proofErr w:type="spellEnd"/>
            <w:r w:rsidRPr="00B63ACC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B63ACC">
              <w:rPr>
                <w:b w:val="0"/>
                <w:bCs w:val="0"/>
                <w:sz w:val="18"/>
                <w:szCs w:val="18"/>
              </w:rPr>
              <w:t>regole</w:t>
            </w:r>
            <w:proofErr w:type="spellEnd"/>
          </w:p>
        </w:tc>
        <w:tc>
          <w:tcPr>
            <w:tcW w:w="1324" w:type="dxa"/>
          </w:tcPr>
          <w:p w14:paraId="774F0039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CC8925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5A271AA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3"/>
          </w:tcPr>
          <w:p w14:paraId="63EF55BB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58" w:type="dxa"/>
          </w:tcPr>
          <w:p w14:paraId="6FB8D201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797BD6A6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9333930" w14:textId="77777777" w:rsidR="00B25E6A" w:rsidRPr="00B25E6A" w:rsidRDefault="00B25E6A" w:rsidP="00B25E6A">
            <w:pPr>
              <w:pStyle w:val="Paragrafoelenco"/>
              <w:numPr>
                <w:ilvl w:val="0"/>
                <w:numId w:val="1"/>
              </w:numPr>
              <w:spacing w:before="240"/>
              <w:jc w:val="both"/>
              <w:rPr>
                <w:b w:val="0"/>
                <w:bCs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Capacità di gestire e controllare emozioni e sentimenti</w:t>
            </w:r>
          </w:p>
        </w:tc>
        <w:tc>
          <w:tcPr>
            <w:tcW w:w="1324" w:type="dxa"/>
          </w:tcPr>
          <w:p w14:paraId="7D25BE1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BFAD938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16BF0DD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6" w:type="dxa"/>
            <w:gridSpan w:val="3"/>
          </w:tcPr>
          <w:p w14:paraId="35043EF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58" w:type="dxa"/>
          </w:tcPr>
          <w:p w14:paraId="7EF0DDD9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71C74C83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BE4D5" w:themeFill="accent2" w:themeFillTint="33"/>
          </w:tcPr>
          <w:p w14:paraId="1EE69239" w14:textId="77777777" w:rsidR="00B25E6A" w:rsidRPr="00B25E6A" w:rsidRDefault="00B25E6A" w:rsidP="00127A1F">
            <w:pPr>
              <w:spacing w:after="60"/>
              <w:ind w:left="34"/>
              <w:rPr>
                <w:rFonts w:asciiTheme="minorHAnsi" w:hAnsiTheme="minorHAnsi" w:cstheme="minorHAnsi"/>
                <w:bCs w:val="0"/>
                <w:lang w:val="it-IT"/>
              </w:rPr>
            </w:pPr>
            <w:r w:rsidRPr="00B25E6A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 xml:space="preserve">b.       Dimensione della comunicazione e del linguaggio: </w:t>
            </w:r>
          </w:p>
        </w:tc>
        <w:tc>
          <w:tcPr>
            <w:tcW w:w="1324" w:type="dxa"/>
          </w:tcPr>
          <w:p w14:paraId="0E844830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03D204C0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2B0CECC7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4" w:type="dxa"/>
            <w:gridSpan w:val="2"/>
          </w:tcPr>
          <w:p w14:paraId="29E45C8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  <w:gridSpan w:val="2"/>
          </w:tcPr>
          <w:p w14:paraId="38BE2612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B25E6A" w14:paraId="660A1C41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5CF44D7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comprendere messaggi /consegne</w:t>
            </w:r>
          </w:p>
        </w:tc>
        <w:tc>
          <w:tcPr>
            <w:tcW w:w="1324" w:type="dxa"/>
          </w:tcPr>
          <w:p w14:paraId="7B909A5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57DB1D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21CE583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599DD36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16C38676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B25E6A" w14:paraId="368B1366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CEADD14" w14:textId="77777777" w:rsidR="00B25E6A" w:rsidRPr="009D2378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comprendere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racconti</w:t>
            </w:r>
            <w:proofErr w:type="spellEnd"/>
          </w:p>
        </w:tc>
        <w:tc>
          <w:tcPr>
            <w:tcW w:w="1324" w:type="dxa"/>
          </w:tcPr>
          <w:p w14:paraId="49301E95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56121D8F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1004D237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4" w:type="dxa"/>
            <w:gridSpan w:val="2"/>
          </w:tcPr>
          <w:p w14:paraId="24014499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0" w:type="dxa"/>
            <w:gridSpan w:val="2"/>
          </w:tcPr>
          <w:p w14:paraId="5FB17965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25E6A" w14:paraId="4792069F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07405A0" w14:textId="77777777" w:rsidR="00B25E6A" w:rsidRPr="009D2378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raccontare</w:t>
            </w:r>
            <w:proofErr w:type="spellEnd"/>
          </w:p>
        </w:tc>
        <w:tc>
          <w:tcPr>
            <w:tcW w:w="1324" w:type="dxa"/>
          </w:tcPr>
          <w:p w14:paraId="4E088F3C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396BCEE8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77ED7983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4" w:type="dxa"/>
            <w:gridSpan w:val="2"/>
          </w:tcPr>
          <w:p w14:paraId="6C5B919F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0" w:type="dxa"/>
            <w:gridSpan w:val="2"/>
          </w:tcPr>
          <w:p w14:paraId="0FEE647F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25E6A" w14:paraId="0FE3D997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814DB3A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comunicare con linguaggi non verbali</w:t>
            </w:r>
          </w:p>
        </w:tc>
        <w:tc>
          <w:tcPr>
            <w:tcW w:w="1324" w:type="dxa"/>
          </w:tcPr>
          <w:p w14:paraId="632B1543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06DB995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31964498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6CD2589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5C9D0C0B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B25E6A" w14:paraId="4BEB4607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31F364B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comunicare con linguaggi verbali</w:t>
            </w:r>
          </w:p>
        </w:tc>
        <w:tc>
          <w:tcPr>
            <w:tcW w:w="1324" w:type="dxa"/>
          </w:tcPr>
          <w:p w14:paraId="4F72BD2D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FD050B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432" w:type="dxa"/>
          </w:tcPr>
          <w:p w14:paraId="75B4A556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2E37CB0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2D73BB7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t-IT"/>
              </w:rPr>
            </w:pPr>
          </w:p>
        </w:tc>
      </w:tr>
      <w:tr w:rsidR="00B25E6A" w14:paraId="301BE21C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BEA622C" w14:textId="77777777" w:rsidR="00B25E6A" w:rsidRPr="009D2378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attentiva</w:t>
            </w:r>
            <w:proofErr w:type="spellEnd"/>
          </w:p>
        </w:tc>
        <w:tc>
          <w:tcPr>
            <w:tcW w:w="1324" w:type="dxa"/>
          </w:tcPr>
          <w:p w14:paraId="09C4ED7B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62D743B3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774D16D2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4" w:type="dxa"/>
            <w:gridSpan w:val="2"/>
          </w:tcPr>
          <w:p w14:paraId="63716C99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0" w:type="dxa"/>
            <w:gridSpan w:val="2"/>
          </w:tcPr>
          <w:p w14:paraId="11602298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25E6A" w14:paraId="2B643157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8BE0B30" w14:textId="77777777" w:rsidR="00B25E6A" w:rsidRPr="009D2378" w:rsidRDefault="00B25E6A" w:rsidP="00B25E6A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memorizzare</w:t>
            </w:r>
            <w:proofErr w:type="spellEnd"/>
          </w:p>
        </w:tc>
        <w:tc>
          <w:tcPr>
            <w:tcW w:w="1324" w:type="dxa"/>
          </w:tcPr>
          <w:p w14:paraId="6DC0010F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79F5875E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32" w:type="dxa"/>
          </w:tcPr>
          <w:p w14:paraId="5B572924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4" w:type="dxa"/>
            <w:gridSpan w:val="2"/>
          </w:tcPr>
          <w:p w14:paraId="39D23DFE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70" w:type="dxa"/>
            <w:gridSpan w:val="2"/>
          </w:tcPr>
          <w:p w14:paraId="51A11309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B25E6A" w14:paraId="3C305BDE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BE4D5" w:themeFill="accent2" w:themeFillTint="33"/>
          </w:tcPr>
          <w:p w14:paraId="3DC58DC1" w14:textId="77777777" w:rsidR="00B25E6A" w:rsidRPr="00B25E6A" w:rsidRDefault="00B25E6A" w:rsidP="00127A1F">
            <w:pPr>
              <w:spacing w:after="60"/>
              <w:ind w:left="34"/>
              <w:rPr>
                <w:rFonts w:asciiTheme="minorHAnsi" w:eastAsia="Tahoma" w:hAnsiTheme="minorHAnsi" w:cstheme="minorHAnsi"/>
                <w:b w:val="0"/>
                <w:sz w:val="20"/>
                <w:szCs w:val="20"/>
                <w:lang w:val="it-IT"/>
              </w:rPr>
            </w:pPr>
            <w:r w:rsidRPr="00B25E6A">
              <w:rPr>
                <w:rFonts w:asciiTheme="minorHAnsi" w:eastAsia="Tahoma" w:hAnsiTheme="minorHAnsi" w:cstheme="minorHAnsi"/>
                <w:b w:val="0"/>
                <w:sz w:val="20"/>
                <w:szCs w:val="20"/>
                <w:lang w:val="it-IT"/>
              </w:rPr>
              <w:t xml:space="preserve">c.       </w:t>
            </w:r>
            <w:r w:rsidRPr="00B25E6A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>Dimensione dell’autonomia e dell’orientamento</w:t>
            </w:r>
          </w:p>
        </w:tc>
        <w:tc>
          <w:tcPr>
            <w:tcW w:w="1324" w:type="dxa"/>
          </w:tcPr>
          <w:p w14:paraId="5EDBF2F6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3704BD01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4BD3AFF2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4" w:type="dxa"/>
            <w:gridSpan w:val="2"/>
          </w:tcPr>
          <w:p w14:paraId="1311B5ED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0" w:type="dxa"/>
            <w:gridSpan w:val="2"/>
          </w:tcPr>
          <w:p w14:paraId="297D04DD" w14:textId="77777777" w:rsid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25E6A" w:rsidRPr="002518F5" w14:paraId="4AFD57B8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2641155D" w14:textId="77777777" w:rsidR="00B25E6A" w:rsidRPr="00B25E6A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Autonomia nelle prassie igieniche e alimentari</w:t>
            </w:r>
          </w:p>
        </w:tc>
        <w:tc>
          <w:tcPr>
            <w:tcW w:w="1324" w:type="dxa"/>
          </w:tcPr>
          <w:p w14:paraId="29DD4FB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A485C3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506E5C0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64A8D7EE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3C70B5DB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57EAD43C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741AFA6B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 xml:space="preserve">Autonomia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negli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spostamenti</w:t>
            </w:r>
            <w:proofErr w:type="spellEnd"/>
          </w:p>
        </w:tc>
        <w:tc>
          <w:tcPr>
            <w:tcW w:w="1324" w:type="dxa"/>
          </w:tcPr>
          <w:p w14:paraId="4A05CD23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B9B91B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A3185FF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58EE7F2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5090A3DA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2C38CB75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6DCED2B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Capacità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di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autocontrollo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motorio</w:t>
            </w:r>
            <w:proofErr w:type="spellEnd"/>
          </w:p>
        </w:tc>
        <w:tc>
          <w:tcPr>
            <w:tcW w:w="1324" w:type="dxa"/>
          </w:tcPr>
          <w:p w14:paraId="44836FA0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015E2146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132F2D3C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13E7101F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2262328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0F5934DA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9E20D01" w14:textId="77777777" w:rsidR="00B25E6A" w:rsidRPr="00B25E6A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  <w:lang w:val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Percezione di sé nello spazio</w:t>
            </w:r>
          </w:p>
        </w:tc>
        <w:tc>
          <w:tcPr>
            <w:tcW w:w="1324" w:type="dxa"/>
          </w:tcPr>
          <w:p w14:paraId="101991C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FF965A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DBD934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4" w:type="dxa"/>
            <w:gridSpan w:val="2"/>
          </w:tcPr>
          <w:p w14:paraId="4CC786E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70" w:type="dxa"/>
            <w:gridSpan w:val="2"/>
          </w:tcPr>
          <w:p w14:paraId="1D8EEE50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706C8B00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C4D551A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Capacità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senso-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percettive</w:t>
            </w:r>
            <w:proofErr w:type="spellEnd"/>
          </w:p>
        </w:tc>
        <w:tc>
          <w:tcPr>
            <w:tcW w:w="1324" w:type="dxa"/>
          </w:tcPr>
          <w:p w14:paraId="6DC6B257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AB4A30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7EDEFAE9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4B4CC5D6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5B4E930F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43956463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F1D7610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lastRenderedPageBreak/>
              <w:t>Coordinazione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motoria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globale</w:t>
            </w:r>
            <w:proofErr w:type="spellEnd"/>
          </w:p>
        </w:tc>
        <w:tc>
          <w:tcPr>
            <w:tcW w:w="1324" w:type="dxa"/>
          </w:tcPr>
          <w:p w14:paraId="78470F69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92739E9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0E588C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10BCC157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3451DCE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5F9DBFF2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5390035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Coordinazione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oculo-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manuale</w:t>
            </w:r>
            <w:proofErr w:type="spellEnd"/>
          </w:p>
        </w:tc>
        <w:tc>
          <w:tcPr>
            <w:tcW w:w="1324" w:type="dxa"/>
          </w:tcPr>
          <w:p w14:paraId="06C9CDB8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06E5C4D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7BE34E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16FFEA2B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72C7373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361231D6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41D9A312" w14:textId="77777777" w:rsidR="00B25E6A" w:rsidRPr="0028366F" w:rsidRDefault="00B25E6A" w:rsidP="00B25E6A">
            <w:pPr>
              <w:pStyle w:val="Paragrafoelenco"/>
              <w:numPr>
                <w:ilvl w:val="0"/>
                <w:numId w:val="2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Conoscenza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dello</w:t>
            </w:r>
            <w:proofErr w:type="spellEnd"/>
            <w:r w:rsidRPr="0028366F">
              <w:rPr>
                <w:b w:val="0"/>
                <w:bCs w:val="0"/>
                <w:sz w:val="18"/>
                <w:szCs w:val="18"/>
              </w:rPr>
              <w:t xml:space="preserve"> schema </w:t>
            </w:r>
            <w:proofErr w:type="spellStart"/>
            <w:r w:rsidRPr="0028366F">
              <w:rPr>
                <w:b w:val="0"/>
                <w:bCs w:val="0"/>
                <w:sz w:val="18"/>
                <w:szCs w:val="18"/>
              </w:rPr>
              <w:t>corporeo</w:t>
            </w:r>
            <w:proofErr w:type="spellEnd"/>
          </w:p>
        </w:tc>
        <w:tc>
          <w:tcPr>
            <w:tcW w:w="1324" w:type="dxa"/>
          </w:tcPr>
          <w:p w14:paraId="5551C28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3CA1935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1D9E043D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4" w:type="dxa"/>
            <w:gridSpan w:val="2"/>
          </w:tcPr>
          <w:p w14:paraId="52156243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70" w:type="dxa"/>
            <w:gridSpan w:val="2"/>
          </w:tcPr>
          <w:p w14:paraId="196796D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009A1A36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  <w:shd w:val="clear" w:color="auto" w:fill="FBE4D5" w:themeFill="accent2" w:themeFillTint="33"/>
          </w:tcPr>
          <w:p w14:paraId="730EAB04" w14:textId="77777777" w:rsidR="00B25E6A" w:rsidRPr="00B25E6A" w:rsidRDefault="00B25E6A" w:rsidP="00127A1F">
            <w:pPr>
              <w:jc w:val="both"/>
              <w:rPr>
                <w:rFonts w:asciiTheme="minorHAnsi" w:hAnsiTheme="minorHAnsi" w:cstheme="minorHAnsi"/>
                <w:bCs w:val="0"/>
                <w:lang w:val="it-IT"/>
              </w:rPr>
            </w:pPr>
            <w:r w:rsidRPr="00B25E6A">
              <w:rPr>
                <w:rFonts w:asciiTheme="minorHAnsi" w:eastAsia="Tahoma" w:hAnsiTheme="minorHAnsi" w:cstheme="minorHAnsi"/>
                <w:bCs w:val="0"/>
                <w:sz w:val="20"/>
                <w:szCs w:val="20"/>
                <w:lang w:val="it-IT"/>
              </w:rPr>
              <w:t>d.     Dimensione cognitiva, neuropsicologica e dell’apprendimento:</w:t>
            </w:r>
          </w:p>
        </w:tc>
        <w:tc>
          <w:tcPr>
            <w:tcW w:w="1324" w:type="dxa"/>
          </w:tcPr>
          <w:p w14:paraId="14C3B536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432" w:type="dxa"/>
          </w:tcPr>
          <w:p w14:paraId="330B9CBA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32" w:type="dxa"/>
          </w:tcPr>
          <w:p w14:paraId="5F8869A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64" w:type="dxa"/>
          </w:tcPr>
          <w:p w14:paraId="0F4B1773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80" w:type="dxa"/>
            <w:gridSpan w:val="3"/>
          </w:tcPr>
          <w:p w14:paraId="4ECF4515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B25E6A" w:rsidRPr="002518F5" w14:paraId="7D0F8264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32EC4C74" w14:textId="77777777" w:rsidR="00B25E6A" w:rsidRPr="00BA51AD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>Conoscenza</w:t>
            </w:r>
            <w:proofErr w:type="spellEnd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>concetti</w:t>
            </w:r>
            <w:proofErr w:type="spellEnd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>topologici</w:t>
            </w:r>
            <w:proofErr w:type="spellEnd"/>
          </w:p>
        </w:tc>
        <w:tc>
          <w:tcPr>
            <w:tcW w:w="1324" w:type="dxa"/>
          </w:tcPr>
          <w:p w14:paraId="2E3DD8E2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15B613CF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0522A2CA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1CCBCC28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5163CF2B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6C688D78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70A2FB6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Conoscenza dei concetti temporali (prima e dopo)</w:t>
            </w:r>
          </w:p>
        </w:tc>
        <w:tc>
          <w:tcPr>
            <w:tcW w:w="1324" w:type="dxa"/>
          </w:tcPr>
          <w:p w14:paraId="3CD53CD9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B8C219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9F209CE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456EFD2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4DF2886D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6B05C3F9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2082690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Capacità di distinguere quantità (tanti/pochi/nessuno)</w:t>
            </w:r>
          </w:p>
        </w:tc>
        <w:tc>
          <w:tcPr>
            <w:tcW w:w="1324" w:type="dxa"/>
          </w:tcPr>
          <w:p w14:paraId="0DBC206E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534E5B2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95C9DF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51246DA2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7D8ED170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3D8775B7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573C2543" w14:textId="77777777" w:rsidR="00B25E6A" w:rsidRPr="00BA51AD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proofErr w:type="spellStart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>Capacità</w:t>
            </w:r>
            <w:proofErr w:type="spellEnd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 xml:space="preserve"> di </w:t>
            </w:r>
            <w:proofErr w:type="spellStart"/>
            <w:r w:rsidRPr="00BA51AD">
              <w:rPr>
                <w:b w:val="0"/>
                <w:bCs w:val="0"/>
                <w:sz w:val="18"/>
                <w:szCs w:val="18"/>
                <w:lang w:eastAsia="it-IT"/>
              </w:rPr>
              <w:t>classificare</w:t>
            </w:r>
            <w:proofErr w:type="spellEnd"/>
          </w:p>
        </w:tc>
        <w:tc>
          <w:tcPr>
            <w:tcW w:w="1324" w:type="dxa"/>
          </w:tcPr>
          <w:p w14:paraId="396E5448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58A418EF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32" w:type="dxa"/>
          </w:tcPr>
          <w:p w14:paraId="2A5D6D4E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64" w:type="dxa"/>
          </w:tcPr>
          <w:p w14:paraId="5D371310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0" w:type="dxa"/>
            <w:gridSpan w:val="3"/>
          </w:tcPr>
          <w:p w14:paraId="24E342D4" w14:textId="77777777" w:rsidR="00B25E6A" w:rsidRPr="002518F5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5E6A" w:rsidRPr="002518F5" w14:paraId="3B037F70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0BBB7E3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 w:eastAsia="it-IT"/>
              </w:rPr>
              <w:t>Capacità di contare in situazioni concrete</w:t>
            </w:r>
          </w:p>
        </w:tc>
        <w:tc>
          <w:tcPr>
            <w:tcW w:w="1324" w:type="dxa"/>
          </w:tcPr>
          <w:p w14:paraId="0C8A411B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2EF060C8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56BDA66E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44A6B8A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4B05DD3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5C6E105F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103CAEFA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Capacità di sperimentare e utilizzare tecniche e materiali diversi</w:t>
            </w:r>
          </w:p>
        </w:tc>
        <w:tc>
          <w:tcPr>
            <w:tcW w:w="1324" w:type="dxa"/>
          </w:tcPr>
          <w:p w14:paraId="031164A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D4ECDC8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6339423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26ADBFDA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72A5C47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0D00A846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0576E6F4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Interesse per altri linguaggi (musica, arte, tecnologia)</w:t>
            </w:r>
          </w:p>
        </w:tc>
        <w:tc>
          <w:tcPr>
            <w:tcW w:w="1324" w:type="dxa"/>
          </w:tcPr>
          <w:p w14:paraId="3D86DB55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79992AA9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04068CFC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0A5B4F2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6BF76593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  <w:tr w:rsidR="00B25E6A" w:rsidRPr="002518F5" w14:paraId="577EF63E" w14:textId="77777777" w:rsidTr="00B25E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8" w:type="dxa"/>
          </w:tcPr>
          <w:p w14:paraId="6D44403F" w14:textId="77777777" w:rsidR="00B25E6A" w:rsidRPr="00B25E6A" w:rsidRDefault="00B25E6A" w:rsidP="00B25E6A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val="it-IT" w:eastAsia="it-IT"/>
              </w:rPr>
            </w:pPr>
            <w:r w:rsidRPr="00B25E6A">
              <w:rPr>
                <w:b w:val="0"/>
                <w:bCs w:val="0"/>
                <w:sz w:val="18"/>
                <w:szCs w:val="18"/>
                <w:lang w:val="it-IT"/>
              </w:rPr>
              <w:t>Riproduzione grafica di cose/oggetti</w:t>
            </w:r>
          </w:p>
        </w:tc>
        <w:tc>
          <w:tcPr>
            <w:tcW w:w="1324" w:type="dxa"/>
          </w:tcPr>
          <w:p w14:paraId="6E61A147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32750C51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432" w:type="dxa"/>
          </w:tcPr>
          <w:p w14:paraId="4F664C14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64" w:type="dxa"/>
          </w:tcPr>
          <w:p w14:paraId="22816E23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  <w:tc>
          <w:tcPr>
            <w:tcW w:w="1380" w:type="dxa"/>
            <w:gridSpan w:val="3"/>
          </w:tcPr>
          <w:p w14:paraId="5A6B0A82" w14:textId="77777777" w:rsidR="00B25E6A" w:rsidRPr="00B25E6A" w:rsidRDefault="00B25E6A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  <w:lang w:val="it-IT"/>
              </w:rPr>
            </w:pPr>
          </w:p>
        </w:tc>
      </w:tr>
    </w:tbl>
    <w:p w14:paraId="79381EA4" w14:textId="77777777" w:rsidR="00123DFA" w:rsidRDefault="00123DFA"/>
    <w:sectPr w:rsidR="00123DFA" w:rsidSect="00B25E6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E2775" w14:textId="77777777" w:rsidR="0085114D" w:rsidRDefault="0085114D" w:rsidP="00B25E6A">
      <w:r>
        <w:separator/>
      </w:r>
    </w:p>
  </w:endnote>
  <w:endnote w:type="continuationSeparator" w:id="0">
    <w:p w14:paraId="0A22C047" w14:textId="77777777" w:rsidR="0085114D" w:rsidRDefault="0085114D" w:rsidP="00B2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3E63" w14:textId="77777777" w:rsidR="0085114D" w:rsidRDefault="0085114D" w:rsidP="00B25E6A">
      <w:r>
        <w:separator/>
      </w:r>
    </w:p>
  </w:footnote>
  <w:footnote w:type="continuationSeparator" w:id="0">
    <w:p w14:paraId="36CA459D" w14:textId="77777777" w:rsidR="0085114D" w:rsidRDefault="0085114D" w:rsidP="00B25E6A">
      <w:r>
        <w:continuationSeparator/>
      </w:r>
    </w:p>
  </w:footnote>
  <w:footnote w:id="1">
    <w:p w14:paraId="0768E4B5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>
        <w:rPr>
          <w:rStyle w:val="Caratterinotaapidipagina"/>
          <w:rFonts w:ascii="Calibri" w:hAnsi="Calibri"/>
        </w:rPr>
        <w:footnoteRef/>
      </w:r>
      <w:r>
        <w:tab/>
        <w:t xml:space="preserve"> </w:t>
      </w:r>
      <w:r w:rsidRPr="008D0275">
        <w:rPr>
          <w:rFonts w:asciiTheme="minorHAnsi" w:hAnsiTheme="minorHAnsi" w:cstheme="minorHAnsi"/>
        </w:rPr>
        <w:t>Gli indicatori fanno riferimento ad una prima individuazione di criticità e di eventuali punti di forza in ciascun campo d’esperienza, in base alla seguente scala:</w:t>
      </w:r>
    </w:p>
    <w:p w14:paraId="5E1A9984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 w:rsidRPr="008D0275">
        <w:rPr>
          <w:rFonts w:asciiTheme="minorHAnsi" w:hAnsiTheme="minorHAnsi" w:cstheme="minorHAnsi"/>
        </w:rPr>
        <w:t>+1= potenzialità</w:t>
      </w:r>
    </w:p>
    <w:p w14:paraId="3D804BC6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 w:rsidRPr="008D0275">
        <w:rPr>
          <w:rFonts w:asciiTheme="minorHAnsi" w:hAnsiTheme="minorHAnsi" w:cstheme="minorHAnsi"/>
        </w:rPr>
        <w:t>0= assenza di problema</w:t>
      </w:r>
    </w:p>
    <w:p w14:paraId="7DE7B734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 w:rsidRPr="008D0275">
        <w:rPr>
          <w:rFonts w:asciiTheme="minorHAnsi" w:hAnsiTheme="minorHAnsi" w:cstheme="minorHAnsi"/>
        </w:rPr>
        <w:t>1= problema lieve</w:t>
      </w:r>
    </w:p>
    <w:p w14:paraId="3D6C42A6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 w:rsidRPr="008D0275">
        <w:rPr>
          <w:rFonts w:asciiTheme="minorHAnsi" w:hAnsiTheme="minorHAnsi" w:cstheme="minorHAnsi"/>
        </w:rPr>
        <w:t>2= problema medio</w:t>
      </w:r>
    </w:p>
    <w:p w14:paraId="7D459E69" w14:textId="77777777" w:rsidR="00B25E6A" w:rsidRPr="008D0275" w:rsidRDefault="00B25E6A" w:rsidP="00B25E6A">
      <w:pPr>
        <w:pStyle w:val="Testonotaapidipagina"/>
        <w:rPr>
          <w:rFonts w:asciiTheme="minorHAnsi" w:hAnsiTheme="minorHAnsi" w:cstheme="minorHAnsi"/>
        </w:rPr>
      </w:pPr>
      <w:r w:rsidRPr="008D0275">
        <w:rPr>
          <w:rFonts w:asciiTheme="minorHAnsi" w:hAnsiTheme="minorHAnsi" w:cstheme="minorHAnsi"/>
        </w:rPr>
        <w:t>3= problema grave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B8A"/>
    <w:multiLevelType w:val="hybridMultilevel"/>
    <w:tmpl w:val="5984B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408C"/>
    <w:multiLevelType w:val="hybridMultilevel"/>
    <w:tmpl w:val="5C2446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35F8E"/>
    <w:multiLevelType w:val="hybridMultilevel"/>
    <w:tmpl w:val="5A001ADC"/>
    <w:lvl w:ilvl="0" w:tplc="ED987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00FC9"/>
    <w:multiLevelType w:val="hybridMultilevel"/>
    <w:tmpl w:val="73EE102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40CC0D33"/>
    <w:multiLevelType w:val="hybridMultilevel"/>
    <w:tmpl w:val="3BCA1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5266C"/>
    <w:multiLevelType w:val="hybridMultilevel"/>
    <w:tmpl w:val="9CD0704E"/>
    <w:lvl w:ilvl="0" w:tplc="F740053E">
      <w:start w:val="1"/>
      <w:numFmt w:val="lowerLetter"/>
      <w:lvlText w:val="%1."/>
      <w:lvlJc w:val="left"/>
      <w:pPr>
        <w:ind w:left="720" w:hanging="360"/>
      </w:pPr>
      <w:rPr>
        <w:rFonts w:eastAsia="Tahoma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9F"/>
    <w:rsid w:val="00123DFA"/>
    <w:rsid w:val="0085114D"/>
    <w:rsid w:val="00B25E6A"/>
    <w:rsid w:val="00FB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B84C"/>
  <w15:chartTrackingRefBased/>
  <w15:docId w15:val="{0E9E9669-3519-46A9-ADF3-AA389C1E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25E6A"/>
    <w:pPr>
      <w:widowControl w:val="0"/>
      <w:autoSpaceDE w:val="0"/>
      <w:autoSpaceDN w:val="0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5E6A"/>
  </w:style>
  <w:style w:type="paragraph" w:styleId="Testonotaapidipagina">
    <w:name w:val="footnote text"/>
    <w:basedOn w:val="Normale"/>
    <w:link w:val="TestonotaapidipaginaCarattere"/>
    <w:rsid w:val="00B25E6A"/>
    <w:pPr>
      <w:suppressLineNumbers/>
      <w:suppressAutoHyphens/>
      <w:autoSpaceDE/>
      <w:autoSpaceDN/>
      <w:ind w:left="283" w:hanging="283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25E6A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Caratterinotaapidipagina">
    <w:name w:val="Caratteri nota a piè di pagina"/>
    <w:rsid w:val="00B25E6A"/>
    <w:rPr>
      <w:vertAlign w:val="superscript"/>
    </w:rPr>
  </w:style>
  <w:style w:type="table" w:styleId="Tabellagriglia1chiara-colore2">
    <w:name w:val="Grid Table 1 Light Accent 2"/>
    <w:basedOn w:val="Tabellanormale"/>
    <w:uiPriority w:val="46"/>
    <w:rsid w:val="00B25E6A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Company>MIUR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LUPIA MICHELA</dc:creator>
  <cp:keywords/>
  <dc:description/>
  <cp:lastModifiedBy>LUPIA MICHELA</cp:lastModifiedBy>
  <cp:revision>2</cp:revision>
  <dcterms:created xsi:type="dcterms:W3CDTF">2022-10-18T09:52:00Z</dcterms:created>
  <dcterms:modified xsi:type="dcterms:W3CDTF">2022-10-18T09:53:00Z</dcterms:modified>
</cp:coreProperties>
</file>